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614"/>
      </w:tblGrid>
      <w:tr w:rsidR="00EC43E9" w:rsidTr="00EC43E9">
        <w:tc>
          <w:tcPr>
            <w:tcW w:w="1101" w:type="dxa"/>
            <w:tcBorders>
              <w:bottom w:val="dotted" w:sz="4" w:space="0" w:color="auto"/>
            </w:tcBorders>
          </w:tcPr>
          <w:p w:rsidR="00EC43E9" w:rsidRDefault="00EC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通し番号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EC43E9" w:rsidRDefault="00EC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カテゴリ名</w:t>
            </w:r>
          </w:p>
        </w:tc>
        <w:tc>
          <w:tcPr>
            <w:tcW w:w="1614" w:type="dxa"/>
            <w:tcBorders>
              <w:bottom w:val="dotted" w:sz="4" w:space="0" w:color="auto"/>
            </w:tcBorders>
          </w:tcPr>
          <w:p w:rsidR="00EC43E9" w:rsidRDefault="00EC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担当者名</w:t>
            </w:r>
          </w:p>
        </w:tc>
      </w:tr>
      <w:tr w:rsidR="00EC43E9" w:rsidTr="00EC43E9">
        <w:tc>
          <w:tcPr>
            <w:tcW w:w="1101" w:type="dxa"/>
            <w:tcBorders>
              <w:top w:val="dotted" w:sz="4" w:space="0" w:color="auto"/>
            </w:tcBorders>
          </w:tcPr>
          <w:p w:rsidR="00EC43E9" w:rsidRDefault="001361B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３８</w:t>
            </w:r>
          </w:p>
        </w:tc>
        <w:tc>
          <w:tcPr>
            <w:tcW w:w="7229" w:type="dxa"/>
            <w:tcBorders>
              <w:top w:val="dotted" w:sz="4" w:space="0" w:color="auto"/>
            </w:tcBorders>
          </w:tcPr>
          <w:p w:rsidR="00EC43E9" w:rsidRDefault="001361B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活動内容：</w:t>
            </w:r>
            <w:r w:rsidRPr="001361BC">
              <w:rPr>
                <w:rFonts w:ascii="Meiryo UI" w:eastAsia="Meiryo UI" w:hAnsi="Meiryo UI" w:cs="Meiryo UI" w:hint="eastAsia"/>
              </w:rPr>
              <w:t>日本の温暖化対策を進める</w:t>
            </w:r>
          </w:p>
        </w:tc>
        <w:tc>
          <w:tcPr>
            <w:tcW w:w="1614" w:type="dxa"/>
            <w:tcBorders>
              <w:top w:val="dotted" w:sz="4" w:space="0" w:color="auto"/>
            </w:tcBorders>
          </w:tcPr>
          <w:p w:rsidR="00EC43E9" w:rsidRDefault="001361B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桃井</w:t>
            </w:r>
          </w:p>
        </w:tc>
      </w:tr>
      <w:tr w:rsidR="00EC43E9" w:rsidTr="005962EE">
        <w:tc>
          <w:tcPr>
            <w:tcW w:w="9944" w:type="dxa"/>
            <w:gridSpan w:val="3"/>
          </w:tcPr>
          <w:p w:rsidR="002B592A" w:rsidRDefault="00EC43E9" w:rsidP="002B592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ページのタイトル：</w:t>
            </w:r>
            <w:r w:rsidR="002B592A">
              <w:rPr>
                <w:rFonts w:ascii="Meiryo UI" w:eastAsia="Meiryo UI" w:hAnsi="Meiryo UI" w:cs="Meiryo UI" w:hint="eastAsia"/>
              </w:rPr>
              <w:t>日本の温暖化対策をすすめる　（第二レベル）</w:t>
            </w:r>
          </w:p>
        </w:tc>
      </w:tr>
      <w:tr w:rsidR="00EC43E9" w:rsidTr="005962EE">
        <w:tc>
          <w:tcPr>
            <w:tcW w:w="9944" w:type="dxa"/>
            <w:gridSpan w:val="3"/>
          </w:tcPr>
          <w:p w:rsidR="00EC43E9" w:rsidRDefault="00EC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既存ページのURL：</w:t>
            </w:r>
            <w:r w:rsidR="00D666C8">
              <w:rPr>
                <w:rFonts w:ascii="Meiryo UI" w:eastAsia="Meiryo UI" w:hAnsi="Meiryo UI" w:cs="Meiryo UI" w:hint="eastAsia"/>
              </w:rPr>
              <w:t>なし</w:t>
            </w:r>
          </w:p>
        </w:tc>
      </w:tr>
    </w:tbl>
    <w:p w:rsidR="005515AF" w:rsidRDefault="005515AF">
      <w:pPr>
        <w:rPr>
          <w:rFonts w:ascii="Meiryo UI" w:eastAsia="Meiryo UI" w:hAnsi="Meiryo UI" w:cs="Meiryo UI"/>
        </w:rPr>
      </w:pPr>
    </w:p>
    <w:p w:rsidR="00EC43E9" w:rsidRPr="005515AF" w:rsidRDefault="00EC43E9">
      <w:pPr>
        <w:rPr>
          <w:rFonts w:ascii="Meiryo UI" w:eastAsia="Meiryo UI" w:hAnsi="Meiryo UI" w:cs="Meiryo UI"/>
        </w:rPr>
      </w:pPr>
    </w:p>
    <w:p w:rsidR="00FF4636" w:rsidRPr="005515AF" w:rsidRDefault="002B592A">
      <w:pPr>
        <w:rPr>
          <w:rFonts w:ascii="Meiryo UI" w:eastAsia="Meiryo UI" w:hAnsi="Meiryo UI" w:cs="Meiryo UI"/>
          <w:sz w:val="40"/>
          <w:szCs w:val="40"/>
        </w:rPr>
      </w:pPr>
      <w:r w:rsidRPr="002B592A">
        <w:rPr>
          <w:rFonts w:ascii="Meiryo UI" w:eastAsia="Meiryo UI" w:hAnsi="Meiryo UI" w:cs="Meiryo UI" w:hint="eastAsia"/>
          <w:sz w:val="40"/>
          <w:szCs w:val="40"/>
        </w:rPr>
        <w:t>日本の温暖化対策を進める</w:t>
      </w:r>
    </w:p>
    <w:p w:rsidR="00BE0512" w:rsidRPr="00BE0512" w:rsidRDefault="00BE0512">
      <w:pPr>
        <w:rPr>
          <w:rFonts w:ascii="Meiryo UI" w:eastAsia="Meiryo UI" w:hAnsi="Meiryo UI" w:cs="Meiryo UI"/>
        </w:rPr>
      </w:pPr>
    </w:p>
    <w:p w:rsidR="00A11093" w:rsidRDefault="004E24AD" w:rsidP="002B592A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日本には、</w:t>
      </w:r>
      <w:r w:rsidR="002B592A">
        <w:rPr>
          <w:rFonts w:ascii="Meiryo UI" w:eastAsia="Meiryo UI" w:hAnsi="Meiryo UI" w:cs="Meiryo UI" w:hint="eastAsia"/>
        </w:rPr>
        <w:t>地球温暖化対策を</w:t>
      </w:r>
      <w:r>
        <w:rPr>
          <w:rFonts w:ascii="Meiryo UI" w:eastAsia="Meiryo UI" w:hAnsi="Meiryo UI" w:cs="Meiryo UI" w:hint="eastAsia"/>
        </w:rPr>
        <w:t>進め</w:t>
      </w:r>
      <w:r w:rsidR="002B592A">
        <w:rPr>
          <w:rFonts w:ascii="Meiryo UI" w:eastAsia="Meiryo UI" w:hAnsi="Meiryo UI" w:cs="Meiryo UI" w:hint="eastAsia"/>
        </w:rPr>
        <w:t>、CO2やフロンなど温室効果ガスの排出を大幅に削減していく</w:t>
      </w:r>
      <w:r>
        <w:rPr>
          <w:rFonts w:ascii="Meiryo UI" w:eastAsia="Meiryo UI" w:hAnsi="Meiryo UI" w:cs="Meiryo UI" w:hint="eastAsia"/>
        </w:rPr>
        <w:t>責任があります。そのた</w:t>
      </w:r>
      <w:r w:rsidR="002B592A">
        <w:rPr>
          <w:rFonts w:ascii="Meiryo UI" w:eastAsia="Meiryo UI" w:hAnsi="Meiryo UI" w:cs="Meiryo UI" w:hint="eastAsia"/>
        </w:rPr>
        <w:t>めには、</w:t>
      </w:r>
      <w:r w:rsidR="008F023C">
        <w:rPr>
          <w:rFonts w:ascii="Meiryo UI" w:eastAsia="Meiryo UI" w:hAnsi="Meiryo UI" w:cs="Meiryo UI" w:hint="eastAsia"/>
        </w:rPr>
        <w:t>燃料転換や</w:t>
      </w:r>
      <w:r w:rsidR="002B592A">
        <w:rPr>
          <w:rFonts w:ascii="Meiryo UI" w:eastAsia="Meiryo UI" w:hAnsi="Meiryo UI" w:cs="Meiryo UI" w:hint="eastAsia"/>
        </w:rPr>
        <w:t>省エネを大胆にすすめ、再生可能エネルギーの導入を</w:t>
      </w:r>
      <w:r>
        <w:rPr>
          <w:rFonts w:ascii="Meiryo UI" w:eastAsia="Meiryo UI" w:hAnsi="Meiryo UI" w:cs="Meiryo UI" w:hint="eastAsia"/>
        </w:rPr>
        <w:t>増やして</w:t>
      </w:r>
      <w:r w:rsidR="002B592A">
        <w:rPr>
          <w:rFonts w:ascii="Meiryo UI" w:eastAsia="Meiryo UI" w:hAnsi="Meiryo UI" w:cs="Meiryo UI" w:hint="eastAsia"/>
        </w:rPr>
        <w:t>いくことが必要です。気候ネットワークは、</w:t>
      </w:r>
      <w:r w:rsidR="00DB5B79">
        <w:rPr>
          <w:rFonts w:ascii="Meiryo UI" w:eastAsia="Meiryo UI" w:hAnsi="Meiryo UI" w:cs="Meiryo UI" w:hint="eastAsia"/>
        </w:rPr>
        <w:t>国の地球温暖化対策に関連する政策を分析し、</w:t>
      </w:r>
      <w:r w:rsidR="002B592A">
        <w:rPr>
          <w:rFonts w:ascii="Meiryo UI" w:eastAsia="Meiryo UI" w:hAnsi="Meiryo UI" w:cs="Meiryo UI" w:hint="eastAsia"/>
        </w:rPr>
        <w:t>対策のあり方や制度を提案してい</w:t>
      </w:r>
      <w:r w:rsidR="00516820">
        <w:rPr>
          <w:rFonts w:ascii="Meiryo UI" w:eastAsia="Meiryo UI" w:hAnsi="Meiryo UI" w:cs="Meiryo UI" w:hint="eastAsia"/>
        </w:rPr>
        <w:t>ます</w:t>
      </w:r>
      <w:r w:rsidR="002B592A">
        <w:rPr>
          <w:rFonts w:ascii="Meiryo UI" w:eastAsia="Meiryo UI" w:hAnsi="Meiryo UI" w:cs="Meiryo UI" w:hint="eastAsia"/>
        </w:rPr>
        <w:t>。</w:t>
      </w:r>
    </w:p>
    <w:p w:rsidR="00516820" w:rsidRDefault="00516820" w:rsidP="002B592A">
      <w:pPr>
        <w:ind w:firstLineChars="100" w:firstLine="210"/>
        <w:rPr>
          <w:rFonts w:ascii="Meiryo UI" w:eastAsia="Meiryo UI" w:hAnsi="Meiryo UI" w:cs="Meiryo UI"/>
        </w:rPr>
      </w:pPr>
    </w:p>
    <w:p w:rsidR="00DB5B79" w:rsidRPr="00DB4DCB" w:rsidRDefault="00DB5B79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</w:rPr>
        <w:t xml:space="preserve">- </w:t>
      </w:r>
      <w:commentRangeStart w:id="0"/>
      <w:r w:rsidRPr="00DB4DCB">
        <w:rPr>
          <w:rFonts w:ascii="Meiryo UI" w:eastAsia="Meiryo UI" w:hAnsi="Meiryo UI" w:cs="Meiryo UI" w:hint="eastAsia"/>
          <w:sz w:val="24"/>
          <w:szCs w:val="24"/>
        </w:rPr>
        <w:t>温室効果ガス排出削減のシナリオ・戦略</w:t>
      </w:r>
      <w:commentRangeEnd w:id="0"/>
      <w:r w:rsidRPr="00DB4DCB">
        <w:rPr>
          <w:rStyle w:val="ab"/>
          <w:sz w:val="24"/>
          <w:szCs w:val="24"/>
        </w:rPr>
        <w:commentReference w:id="0"/>
      </w:r>
    </w:p>
    <w:p w:rsidR="00DB5B79" w:rsidRPr="00DB4DCB" w:rsidRDefault="00DB5B79">
      <w:pPr>
        <w:rPr>
          <w:rFonts w:ascii="Meiryo UI" w:eastAsia="Meiryo UI" w:hAnsi="Meiryo UI" w:cs="Meiryo UI"/>
          <w:sz w:val="24"/>
          <w:szCs w:val="24"/>
        </w:rPr>
      </w:pPr>
      <w:r w:rsidRPr="00DB4DCB">
        <w:rPr>
          <w:rFonts w:ascii="Meiryo UI" w:eastAsia="Meiryo UI" w:hAnsi="Meiryo UI" w:cs="Meiryo UI" w:hint="eastAsia"/>
          <w:sz w:val="24"/>
          <w:szCs w:val="24"/>
        </w:rPr>
        <w:t xml:space="preserve">- </w:t>
      </w:r>
      <w:commentRangeStart w:id="1"/>
      <w:r w:rsidRPr="00DB4DCB">
        <w:rPr>
          <w:rFonts w:ascii="Meiryo UI" w:eastAsia="Meiryo UI" w:hAnsi="Meiryo UI" w:cs="Meiryo UI" w:hint="eastAsia"/>
          <w:sz w:val="24"/>
          <w:szCs w:val="24"/>
        </w:rPr>
        <w:t>気候変動全般に関する政策提言</w:t>
      </w:r>
      <w:commentRangeEnd w:id="1"/>
      <w:r w:rsidRPr="00DB4DCB">
        <w:rPr>
          <w:rStyle w:val="ab"/>
          <w:sz w:val="24"/>
          <w:szCs w:val="24"/>
        </w:rPr>
        <w:commentReference w:id="1"/>
      </w:r>
    </w:p>
    <w:p w:rsidR="00DB5B79" w:rsidRPr="00DB4DCB" w:rsidRDefault="00DB5B79">
      <w:pPr>
        <w:rPr>
          <w:rFonts w:ascii="Meiryo UI" w:eastAsia="Meiryo UI" w:hAnsi="Meiryo UI" w:cs="Meiryo UI"/>
          <w:sz w:val="24"/>
          <w:szCs w:val="24"/>
        </w:rPr>
      </w:pPr>
      <w:r w:rsidRPr="00DB4DCB">
        <w:rPr>
          <w:rFonts w:ascii="Meiryo UI" w:eastAsia="Meiryo UI" w:hAnsi="Meiryo UI" w:cs="Meiryo UI" w:hint="eastAsia"/>
          <w:sz w:val="24"/>
          <w:szCs w:val="24"/>
        </w:rPr>
        <w:t xml:space="preserve">- </w:t>
      </w:r>
      <w:commentRangeStart w:id="2"/>
      <w:r w:rsidRPr="00DB4DCB">
        <w:rPr>
          <w:rFonts w:ascii="Meiryo UI" w:eastAsia="Meiryo UI" w:hAnsi="Meiryo UI" w:cs="Meiryo UI" w:hint="eastAsia"/>
          <w:sz w:val="24"/>
          <w:szCs w:val="24"/>
        </w:rPr>
        <w:t>日本政府の政策評価</w:t>
      </w:r>
      <w:commentRangeEnd w:id="2"/>
      <w:r w:rsidRPr="00DB4DCB">
        <w:rPr>
          <w:rStyle w:val="ab"/>
          <w:sz w:val="24"/>
          <w:szCs w:val="24"/>
        </w:rPr>
        <w:commentReference w:id="2"/>
      </w:r>
    </w:p>
    <w:p w:rsidR="00DB5B79" w:rsidRPr="00DB4DCB" w:rsidRDefault="00DB5B79">
      <w:pPr>
        <w:rPr>
          <w:rFonts w:ascii="Meiryo UI" w:eastAsia="Meiryo UI" w:hAnsi="Meiryo UI" w:cs="Meiryo UI"/>
          <w:sz w:val="24"/>
          <w:szCs w:val="24"/>
        </w:rPr>
      </w:pPr>
      <w:r w:rsidRPr="00DB4DCB">
        <w:rPr>
          <w:rFonts w:ascii="Meiryo UI" w:eastAsia="Meiryo UI" w:hAnsi="Meiryo UI" w:cs="Meiryo UI" w:hint="eastAsia"/>
          <w:sz w:val="24"/>
          <w:szCs w:val="24"/>
        </w:rPr>
        <w:t xml:space="preserve">- </w:t>
      </w:r>
      <w:commentRangeStart w:id="3"/>
      <w:r w:rsidRPr="00DB4DCB">
        <w:rPr>
          <w:rFonts w:ascii="Meiryo UI" w:eastAsia="Meiryo UI" w:hAnsi="Meiryo UI" w:cs="Meiryo UI" w:hint="eastAsia"/>
          <w:sz w:val="24"/>
          <w:szCs w:val="24"/>
        </w:rPr>
        <w:t>情報公開とデータ分析</w:t>
      </w:r>
      <w:commentRangeEnd w:id="3"/>
      <w:r w:rsidRPr="00DB4DCB">
        <w:rPr>
          <w:rStyle w:val="ab"/>
          <w:sz w:val="24"/>
          <w:szCs w:val="24"/>
        </w:rPr>
        <w:commentReference w:id="3"/>
      </w:r>
    </w:p>
    <w:p w:rsidR="00DB5B79" w:rsidRPr="00DB4DCB" w:rsidRDefault="00DB5B79">
      <w:pPr>
        <w:rPr>
          <w:rFonts w:ascii="Meiryo UI" w:eastAsia="Meiryo UI" w:hAnsi="Meiryo UI" w:cs="Meiryo UI"/>
          <w:sz w:val="24"/>
          <w:szCs w:val="24"/>
        </w:rPr>
      </w:pPr>
      <w:r w:rsidRPr="00DB4DCB">
        <w:rPr>
          <w:rFonts w:ascii="Meiryo UI" w:eastAsia="Meiryo UI" w:hAnsi="Meiryo UI" w:cs="Meiryo UI" w:hint="eastAsia"/>
          <w:sz w:val="24"/>
          <w:szCs w:val="24"/>
        </w:rPr>
        <w:t xml:space="preserve">- </w:t>
      </w:r>
      <w:commentRangeStart w:id="4"/>
      <w:r w:rsidRPr="00DB4DCB">
        <w:rPr>
          <w:rFonts w:ascii="Meiryo UI" w:eastAsia="Meiryo UI" w:hAnsi="Meiryo UI" w:cs="Meiryo UI" w:hint="eastAsia"/>
          <w:sz w:val="24"/>
          <w:szCs w:val="24"/>
        </w:rPr>
        <w:t>個別的な政策・措置</w:t>
      </w:r>
      <w:commentRangeEnd w:id="4"/>
      <w:r w:rsidRPr="00DB4DCB">
        <w:rPr>
          <w:rStyle w:val="ab"/>
          <w:sz w:val="24"/>
          <w:szCs w:val="24"/>
        </w:rPr>
        <w:commentReference w:id="4"/>
      </w:r>
    </w:p>
    <w:p w:rsidR="00DB5B79" w:rsidRPr="00DB4DCB" w:rsidRDefault="00DB5B79">
      <w:pPr>
        <w:rPr>
          <w:rFonts w:ascii="Meiryo UI" w:eastAsia="Meiryo UI" w:hAnsi="Meiryo UI" w:cs="Meiryo UI"/>
          <w:sz w:val="24"/>
          <w:szCs w:val="24"/>
        </w:rPr>
      </w:pPr>
      <w:r w:rsidRPr="00DB4DCB">
        <w:rPr>
          <w:rFonts w:ascii="Meiryo UI" w:eastAsia="Meiryo UI" w:hAnsi="Meiryo UI" w:cs="Meiryo UI" w:hint="eastAsia"/>
          <w:sz w:val="24"/>
          <w:szCs w:val="24"/>
        </w:rPr>
        <w:t xml:space="preserve">- </w:t>
      </w:r>
      <w:commentRangeStart w:id="5"/>
      <w:r w:rsidRPr="00DB4DCB">
        <w:rPr>
          <w:rFonts w:ascii="Meiryo UI" w:eastAsia="Meiryo UI" w:hAnsi="Meiryo UI" w:cs="Meiryo UI" w:hint="eastAsia"/>
          <w:sz w:val="24"/>
          <w:szCs w:val="24"/>
        </w:rPr>
        <w:t>各政党・議員の政策分析、選挙関連</w:t>
      </w:r>
      <w:commentRangeEnd w:id="5"/>
      <w:r w:rsidRPr="00DB4DCB">
        <w:rPr>
          <w:rStyle w:val="ab"/>
          <w:sz w:val="24"/>
          <w:szCs w:val="24"/>
        </w:rPr>
        <w:commentReference w:id="5"/>
      </w:r>
    </w:p>
    <w:p w:rsidR="00DB5B79" w:rsidRPr="00DB4DCB" w:rsidRDefault="00DB5B79">
      <w:pPr>
        <w:rPr>
          <w:rFonts w:ascii="Meiryo UI" w:eastAsia="Meiryo UI" w:hAnsi="Meiryo UI" w:cs="Meiryo UI"/>
          <w:sz w:val="24"/>
          <w:szCs w:val="24"/>
        </w:rPr>
      </w:pPr>
      <w:r w:rsidRPr="00DB4DCB">
        <w:rPr>
          <w:rFonts w:ascii="Meiryo UI" w:eastAsia="Meiryo UI" w:hAnsi="Meiryo UI" w:cs="Meiryo UI" w:hint="eastAsia"/>
          <w:sz w:val="24"/>
          <w:szCs w:val="24"/>
        </w:rPr>
        <w:t xml:space="preserve">- </w:t>
      </w:r>
      <w:commentRangeStart w:id="6"/>
      <w:r w:rsidRPr="00DB4DCB">
        <w:rPr>
          <w:rFonts w:ascii="Meiryo UI" w:eastAsia="Meiryo UI" w:hAnsi="Meiryo UI" w:cs="Meiryo UI" w:hint="eastAsia"/>
          <w:sz w:val="24"/>
          <w:szCs w:val="24"/>
        </w:rPr>
        <w:t>企業活動のモニタリング</w:t>
      </w:r>
      <w:commentRangeEnd w:id="6"/>
      <w:r w:rsidRPr="00DB4DCB">
        <w:rPr>
          <w:rStyle w:val="ab"/>
          <w:sz w:val="24"/>
          <w:szCs w:val="24"/>
        </w:rPr>
        <w:commentReference w:id="6"/>
      </w:r>
    </w:p>
    <w:p w:rsidR="00DB5B79" w:rsidRPr="00DB4DCB" w:rsidRDefault="00DB5B79">
      <w:pPr>
        <w:rPr>
          <w:rFonts w:ascii="Meiryo UI" w:eastAsia="Meiryo UI" w:hAnsi="Meiryo UI" w:cs="Meiryo UI"/>
          <w:sz w:val="24"/>
          <w:szCs w:val="24"/>
        </w:rPr>
      </w:pPr>
      <w:r w:rsidRPr="00DB4DCB">
        <w:rPr>
          <w:rFonts w:ascii="Meiryo UI" w:eastAsia="Meiryo UI" w:hAnsi="Meiryo UI" w:cs="Meiryo UI" w:hint="eastAsia"/>
          <w:sz w:val="24"/>
          <w:szCs w:val="24"/>
        </w:rPr>
        <w:t xml:space="preserve">- </w:t>
      </w:r>
      <w:commentRangeStart w:id="7"/>
      <w:r w:rsidRPr="00DB4DCB">
        <w:rPr>
          <w:rFonts w:ascii="Meiryo UI" w:eastAsia="Meiryo UI" w:hAnsi="Meiryo UI" w:cs="Meiryo UI" w:hint="eastAsia"/>
          <w:sz w:val="24"/>
          <w:szCs w:val="24"/>
        </w:rPr>
        <w:t>他国の政策事例</w:t>
      </w:r>
      <w:commentRangeEnd w:id="7"/>
      <w:r w:rsidRPr="00DB4DCB">
        <w:rPr>
          <w:rStyle w:val="ab"/>
          <w:sz w:val="24"/>
          <w:szCs w:val="24"/>
        </w:rPr>
        <w:commentReference w:id="7"/>
      </w:r>
    </w:p>
    <w:p w:rsidR="00DB5B79" w:rsidRDefault="00DB5B7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</w:p>
    <w:p w:rsidR="00521F2F" w:rsidRDefault="00DB5B79" w:rsidP="00DB5B7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</w:t>
      </w:r>
    </w:p>
    <w:p w:rsidR="005A29E6" w:rsidRPr="005A29E6" w:rsidRDefault="005A29E6" w:rsidP="00DB5B79">
      <w:pPr>
        <w:rPr>
          <w:rFonts w:ascii="Meiryo UI" w:eastAsia="Meiryo UI" w:hAnsi="Meiryo UI" w:cs="Meiryo UI"/>
          <w:sz w:val="24"/>
          <w:szCs w:val="24"/>
        </w:rPr>
      </w:pPr>
      <w:r w:rsidRPr="005A29E6">
        <w:rPr>
          <w:rFonts w:ascii="Meiryo UI" w:eastAsia="Meiryo UI" w:hAnsi="Meiryo UI" w:cs="Meiryo UI"/>
          <w:sz w:val="24"/>
          <w:szCs w:val="24"/>
        </w:rPr>
        <w:t>日本の</w:t>
      </w:r>
      <w:r>
        <w:rPr>
          <w:rFonts w:ascii="Meiryo UI" w:eastAsia="Meiryo UI" w:hAnsi="Meiryo UI" w:cs="Meiryo UI"/>
          <w:sz w:val="24"/>
          <w:szCs w:val="24"/>
        </w:rPr>
        <w:t>温室効果ガス</w:t>
      </w:r>
      <w:r w:rsidRPr="005A29E6">
        <w:rPr>
          <w:rFonts w:ascii="Meiryo UI" w:eastAsia="Meiryo UI" w:hAnsi="Meiryo UI" w:cs="Meiryo UI"/>
          <w:sz w:val="24"/>
          <w:szCs w:val="24"/>
        </w:rPr>
        <w:t>排出構造</w:t>
      </w:r>
    </w:p>
    <w:p w:rsidR="00DB5B79" w:rsidRDefault="00DB5B79" w:rsidP="00DB5B7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日本では、グラフのように、温室効果ガス全体の3割が発電所からの排出です。またそれ以外のエネルギー多消費型産業（鉄鋼、セメント、製紙、化学など）の工場などからの排出を加えると約200事業所で日本の温室効果ガスの半分を占めることになります。</w:t>
      </w:r>
    </w:p>
    <w:p w:rsidR="00DB5B79" w:rsidRDefault="00DB5B79" w:rsidP="00DB5B79">
      <w:pPr>
        <w:rPr>
          <w:rFonts w:ascii="Meiryo UI" w:eastAsia="Meiryo UI" w:hAnsi="Meiryo UI" w:cs="Meiryo UI"/>
        </w:rPr>
      </w:pPr>
      <w:bookmarkStart w:id="8" w:name="_GoBack"/>
      <w:r w:rsidRPr="009017AB">
        <w:rPr>
          <w:rFonts w:ascii="Meiryo UI" w:eastAsia="Meiryo UI" w:hAnsi="Meiryo UI" w:cs="Meiryo UI"/>
          <w:noProof/>
        </w:rPr>
        <w:lastRenderedPageBreak/>
        <w:drawing>
          <wp:inline distT="0" distB="0" distL="0" distR="0" wp14:anchorId="6E50E713" wp14:editId="30BDAAA1">
            <wp:extent cx="5612130" cy="3472815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8"/>
    </w:p>
    <w:p w:rsidR="00DB5B79" w:rsidRDefault="00DB5B79" w:rsidP="00DB5B7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実際に、温室効果ガス排出の削減に結びつけていくためには、日本の排出構造の実態を把握し、有効な対策をこうじていくことが必要です。</w:t>
      </w:r>
    </w:p>
    <w:p w:rsidR="00DB5B79" w:rsidRDefault="00DB5B79" w:rsidP="00DB5B79">
      <w:pPr>
        <w:rPr>
          <w:rFonts w:ascii="Meiryo UI" w:eastAsia="Meiryo UI" w:hAnsi="Meiryo UI" w:cs="Meiryo UI"/>
        </w:rPr>
      </w:pPr>
    </w:p>
    <w:p w:rsidR="00DB5B79" w:rsidRPr="00DB5B79" w:rsidRDefault="00DB5B79">
      <w:pPr>
        <w:rPr>
          <w:rFonts w:ascii="Meiryo UI" w:eastAsia="Meiryo UI" w:hAnsi="Meiryo UI" w:cs="Meiryo UI"/>
        </w:rPr>
      </w:pPr>
    </w:p>
    <w:sectPr w:rsidR="00DB5B79" w:rsidRPr="00DB5B79" w:rsidSect="009C1045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桃井貴子" w:date="2013-11-28T11:05:00Z" w:initials="T">
    <w:p w:rsidR="00DB5B79" w:rsidRDefault="00DB5B79">
      <w:pPr>
        <w:pStyle w:val="ac"/>
      </w:pPr>
      <w:r>
        <w:rPr>
          <w:rStyle w:val="ab"/>
        </w:rPr>
        <w:annotationRef/>
      </w:r>
      <w:r>
        <w:t>【</w:t>
      </w:r>
      <w:r>
        <w:rPr>
          <w:rFonts w:hint="eastAsia"/>
        </w:rPr>
        <w:t>39</w:t>
      </w:r>
      <w:r>
        <w:rPr>
          <w:rFonts w:hint="eastAsia"/>
        </w:rPr>
        <w:t>】にリンク</w:t>
      </w:r>
    </w:p>
  </w:comment>
  <w:comment w:id="1" w:author="桃井貴子" w:date="2013-11-28T11:06:00Z" w:initials="T">
    <w:p w:rsidR="00DB5B79" w:rsidRDefault="00DB5B79">
      <w:pPr>
        <w:pStyle w:val="ac"/>
      </w:pPr>
      <w:r>
        <w:rPr>
          <w:rStyle w:val="ab"/>
        </w:rPr>
        <w:annotationRef/>
      </w:r>
      <w:r>
        <w:t>【</w:t>
      </w:r>
      <w:r>
        <w:rPr>
          <w:rFonts w:hint="eastAsia"/>
        </w:rPr>
        <w:t>43</w:t>
      </w:r>
      <w:r>
        <w:rPr>
          <w:rFonts w:hint="eastAsia"/>
        </w:rPr>
        <w:t>】にリンク</w:t>
      </w:r>
    </w:p>
  </w:comment>
  <w:comment w:id="2" w:author="桃井貴子" w:date="2013-11-28T11:06:00Z" w:initials="T">
    <w:p w:rsidR="00DB5B79" w:rsidRDefault="00DB5B79">
      <w:pPr>
        <w:pStyle w:val="ac"/>
      </w:pPr>
      <w:r>
        <w:rPr>
          <w:rStyle w:val="ab"/>
        </w:rPr>
        <w:annotationRef/>
      </w:r>
      <w:r>
        <w:t>【</w:t>
      </w:r>
      <w:r>
        <w:rPr>
          <w:rFonts w:hint="eastAsia"/>
        </w:rPr>
        <w:t>48</w:t>
      </w:r>
      <w:r>
        <w:rPr>
          <w:rFonts w:hint="eastAsia"/>
        </w:rPr>
        <w:t>】にリンク</w:t>
      </w:r>
    </w:p>
  </w:comment>
  <w:comment w:id="3" w:author="桃井貴子" w:date="2013-11-28T11:06:00Z" w:initials="T">
    <w:p w:rsidR="00DB5B79" w:rsidRDefault="00DB5B79">
      <w:pPr>
        <w:pStyle w:val="ac"/>
      </w:pPr>
      <w:r>
        <w:rPr>
          <w:rStyle w:val="ab"/>
        </w:rPr>
        <w:annotationRef/>
      </w:r>
      <w:r>
        <w:t>【</w:t>
      </w:r>
      <w:r>
        <w:rPr>
          <w:rFonts w:hint="eastAsia"/>
        </w:rPr>
        <w:t>56</w:t>
      </w:r>
      <w:r>
        <w:rPr>
          <w:rFonts w:hint="eastAsia"/>
        </w:rPr>
        <w:t>】にリンク</w:t>
      </w:r>
    </w:p>
  </w:comment>
  <w:comment w:id="4" w:author="桃井貴子" w:date="2013-11-28T11:07:00Z" w:initials="T">
    <w:p w:rsidR="00DB5B79" w:rsidRDefault="00DB5B79">
      <w:pPr>
        <w:pStyle w:val="ac"/>
      </w:pPr>
      <w:r>
        <w:rPr>
          <w:rStyle w:val="ab"/>
        </w:rPr>
        <w:annotationRef/>
      </w:r>
      <w:r>
        <w:t>【</w:t>
      </w:r>
      <w:r>
        <w:rPr>
          <w:rFonts w:hint="eastAsia"/>
        </w:rPr>
        <w:t>59</w:t>
      </w:r>
      <w:r>
        <w:rPr>
          <w:rFonts w:hint="eastAsia"/>
        </w:rPr>
        <w:t>】にリンク</w:t>
      </w:r>
    </w:p>
  </w:comment>
  <w:comment w:id="5" w:author="桃井貴子" w:date="2013-11-28T11:07:00Z" w:initials="T">
    <w:p w:rsidR="00DB5B79" w:rsidRDefault="00DB5B79">
      <w:pPr>
        <w:pStyle w:val="ac"/>
      </w:pPr>
      <w:r>
        <w:rPr>
          <w:rStyle w:val="ab"/>
        </w:rPr>
        <w:annotationRef/>
      </w:r>
      <w:r>
        <w:t>【</w:t>
      </w:r>
      <w:r>
        <w:rPr>
          <w:rFonts w:hint="eastAsia"/>
        </w:rPr>
        <w:t>69</w:t>
      </w:r>
      <w:r>
        <w:rPr>
          <w:rFonts w:hint="eastAsia"/>
        </w:rPr>
        <w:t>】にリンク</w:t>
      </w:r>
    </w:p>
  </w:comment>
  <w:comment w:id="6" w:author="桃井貴子" w:date="2013-11-28T11:07:00Z" w:initials="T">
    <w:p w:rsidR="00DB5B79" w:rsidRDefault="00DB5B79">
      <w:pPr>
        <w:pStyle w:val="ac"/>
      </w:pPr>
      <w:r>
        <w:rPr>
          <w:rStyle w:val="ab"/>
        </w:rPr>
        <w:annotationRef/>
      </w:r>
      <w:r>
        <w:t>【</w:t>
      </w:r>
      <w:r>
        <w:rPr>
          <w:rFonts w:hint="eastAsia"/>
        </w:rPr>
        <w:t>74</w:t>
      </w:r>
      <w:r>
        <w:rPr>
          <w:rFonts w:hint="eastAsia"/>
        </w:rPr>
        <w:t>】にリンク</w:t>
      </w:r>
    </w:p>
  </w:comment>
  <w:comment w:id="7" w:author="桃井貴子" w:date="2013-11-28T11:07:00Z" w:initials="T">
    <w:p w:rsidR="00DB5B79" w:rsidRDefault="00DB5B79">
      <w:pPr>
        <w:pStyle w:val="ac"/>
      </w:pPr>
      <w:r>
        <w:rPr>
          <w:rStyle w:val="ab"/>
        </w:rPr>
        <w:annotationRef/>
      </w:r>
      <w:r>
        <w:t>【</w:t>
      </w:r>
      <w:r>
        <w:rPr>
          <w:rFonts w:hint="eastAsia"/>
        </w:rPr>
        <w:t>78</w:t>
      </w:r>
      <w:r>
        <w:rPr>
          <w:rFonts w:hint="eastAsia"/>
        </w:rPr>
        <w:t>】にリンク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55" w:rsidRDefault="00A55F55" w:rsidP="009C1045">
      <w:r>
        <w:separator/>
      </w:r>
    </w:p>
  </w:endnote>
  <w:endnote w:type="continuationSeparator" w:id="0">
    <w:p w:rsidR="00A55F55" w:rsidRDefault="00A55F55" w:rsidP="009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730031"/>
      <w:docPartObj>
        <w:docPartGallery w:val="Page Numbers (Bottom of Page)"/>
        <w:docPartUnique/>
      </w:docPartObj>
    </w:sdtPr>
    <w:sdtEndPr/>
    <w:sdtContent>
      <w:p w:rsidR="009C1045" w:rsidRDefault="009C10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AE" w:rsidRPr="00EE5CAE">
          <w:rPr>
            <w:noProof/>
            <w:lang w:val="ja-JP"/>
          </w:rPr>
          <w:t>2</w:t>
        </w:r>
        <w:r>
          <w:fldChar w:fldCharType="end"/>
        </w:r>
      </w:p>
    </w:sdtContent>
  </w:sdt>
  <w:p w:rsidR="009C1045" w:rsidRDefault="009C10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55" w:rsidRDefault="00A55F55" w:rsidP="009C1045">
      <w:r>
        <w:separator/>
      </w:r>
    </w:p>
  </w:footnote>
  <w:footnote w:type="continuationSeparator" w:id="0">
    <w:p w:rsidR="00A55F55" w:rsidRDefault="00A55F55" w:rsidP="009C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2B0"/>
    <w:multiLevelType w:val="hybridMultilevel"/>
    <w:tmpl w:val="F84C184C"/>
    <w:lvl w:ilvl="0" w:tplc="CB0E6F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DE00CC"/>
    <w:multiLevelType w:val="hybridMultilevel"/>
    <w:tmpl w:val="973ED13A"/>
    <w:lvl w:ilvl="0" w:tplc="CB0E6F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890728"/>
    <w:multiLevelType w:val="hybridMultilevel"/>
    <w:tmpl w:val="811C961A"/>
    <w:lvl w:ilvl="0" w:tplc="CB0E6F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9B0E7D"/>
    <w:multiLevelType w:val="hybridMultilevel"/>
    <w:tmpl w:val="E1E4AA16"/>
    <w:lvl w:ilvl="0" w:tplc="CB0E6F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C"/>
    <w:rsid w:val="00000E21"/>
    <w:rsid w:val="00001D29"/>
    <w:rsid w:val="00012C56"/>
    <w:rsid w:val="00015895"/>
    <w:rsid w:val="00052B22"/>
    <w:rsid w:val="000601D6"/>
    <w:rsid w:val="000921B6"/>
    <w:rsid w:val="000B107E"/>
    <w:rsid w:val="000B4766"/>
    <w:rsid w:val="000E40FC"/>
    <w:rsid w:val="000E50F5"/>
    <w:rsid w:val="000F6BF7"/>
    <w:rsid w:val="00103684"/>
    <w:rsid w:val="00104979"/>
    <w:rsid w:val="001153FB"/>
    <w:rsid w:val="00116A4D"/>
    <w:rsid w:val="00116F12"/>
    <w:rsid w:val="00120BF1"/>
    <w:rsid w:val="00122A5C"/>
    <w:rsid w:val="001339A4"/>
    <w:rsid w:val="001361BC"/>
    <w:rsid w:val="0016033F"/>
    <w:rsid w:val="00164767"/>
    <w:rsid w:val="0018712F"/>
    <w:rsid w:val="0019655B"/>
    <w:rsid w:val="001A1EC1"/>
    <w:rsid w:val="001A6EEE"/>
    <w:rsid w:val="001B3580"/>
    <w:rsid w:val="001B427F"/>
    <w:rsid w:val="001C3506"/>
    <w:rsid w:val="001F3A40"/>
    <w:rsid w:val="001F4A82"/>
    <w:rsid w:val="001F5FCD"/>
    <w:rsid w:val="00210F26"/>
    <w:rsid w:val="00211A19"/>
    <w:rsid w:val="00215981"/>
    <w:rsid w:val="00223FE6"/>
    <w:rsid w:val="00230A0C"/>
    <w:rsid w:val="00231454"/>
    <w:rsid w:val="00254DAE"/>
    <w:rsid w:val="002646D1"/>
    <w:rsid w:val="002A31D5"/>
    <w:rsid w:val="002A6ACA"/>
    <w:rsid w:val="002A79AE"/>
    <w:rsid w:val="002B592A"/>
    <w:rsid w:val="002D5F2F"/>
    <w:rsid w:val="002E4308"/>
    <w:rsid w:val="00302608"/>
    <w:rsid w:val="00310386"/>
    <w:rsid w:val="00316256"/>
    <w:rsid w:val="00317216"/>
    <w:rsid w:val="00332C66"/>
    <w:rsid w:val="003344FB"/>
    <w:rsid w:val="00342BB1"/>
    <w:rsid w:val="00347896"/>
    <w:rsid w:val="00365C36"/>
    <w:rsid w:val="0036644B"/>
    <w:rsid w:val="0036667A"/>
    <w:rsid w:val="00380093"/>
    <w:rsid w:val="003809F1"/>
    <w:rsid w:val="00392924"/>
    <w:rsid w:val="00395B4C"/>
    <w:rsid w:val="003A1875"/>
    <w:rsid w:val="003B12CD"/>
    <w:rsid w:val="003B5530"/>
    <w:rsid w:val="003C7BDC"/>
    <w:rsid w:val="0041315C"/>
    <w:rsid w:val="00416D67"/>
    <w:rsid w:val="00441E86"/>
    <w:rsid w:val="00451902"/>
    <w:rsid w:val="004554A0"/>
    <w:rsid w:val="004573F3"/>
    <w:rsid w:val="00457462"/>
    <w:rsid w:val="00471574"/>
    <w:rsid w:val="00475DE0"/>
    <w:rsid w:val="00482180"/>
    <w:rsid w:val="00497447"/>
    <w:rsid w:val="00497C44"/>
    <w:rsid w:val="004B1E3C"/>
    <w:rsid w:val="004B4468"/>
    <w:rsid w:val="004B5A6E"/>
    <w:rsid w:val="004C63B2"/>
    <w:rsid w:val="004D7B67"/>
    <w:rsid w:val="004E24AD"/>
    <w:rsid w:val="004E682B"/>
    <w:rsid w:val="004F5E63"/>
    <w:rsid w:val="00500081"/>
    <w:rsid w:val="00501812"/>
    <w:rsid w:val="00502FCB"/>
    <w:rsid w:val="00507CEA"/>
    <w:rsid w:val="00513B83"/>
    <w:rsid w:val="00516820"/>
    <w:rsid w:val="00521F2F"/>
    <w:rsid w:val="00530614"/>
    <w:rsid w:val="005424F1"/>
    <w:rsid w:val="00542E42"/>
    <w:rsid w:val="0054408D"/>
    <w:rsid w:val="00546FEF"/>
    <w:rsid w:val="005515AF"/>
    <w:rsid w:val="0056275A"/>
    <w:rsid w:val="005663A5"/>
    <w:rsid w:val="00594D29"/>
    <w:rsid w:val="005A29E6"/>
    <w:rsid w:val="005B159C"/>
    <w:rsid w:val="005C1F68"/>
    <w:rsid w:val="005D22AD"/>
    <w:rsid w:val="005D3E46"/>
    <w:rsid w:val="00602DE0"/>
    <w:rsid w:val="00605C03"/>
    <w:rsid w:val="00612675"/>
    <w:rsid w:val="00633983"/>
    <w:rsid w:val="0063675D"/>
    <w:rsid w:val="00644FB9"/>
    <w:rsid w:val="0064683A"/>
    <w:rsid w:val="0064735A"/>
    <w:rsid w:val="0067073B"/>
    <w:rsid w:val="00672D0D"/>
    <w:rsid w:val="00683240"/>
    <w:rsid w:val="006847D4"/>
    <w:rsid w:val="00685FAA"/>
    <w:rsid w:val="00687E42"/>
    <w:rsid w:val="006B3EE3"/>
    <w:rsid w:val="006D2A9A"/>
    <w:rsid w:val="006E54C8"/>
    <w:rsid w:val="006F01DB"/>
    <w:rsid w:val="007035FD"/>
    <w:rsid w:val="007042F3"/>
    <w:rsid w:val="00706DF7"/>
    <w:rsid w:val="007071CB"/>
    <w:rsid w:val="0071035E"/>
    <w:rsid w:val="007141BD"/>
    <w:rsid w:val="00715470"/>
    <w:rsid w:val="007202C7"/>
    <w:rsid w:val="0072561E"/>
    <w:rsid w:val="007726EE"/>
    <w:rsid w:val="00774CEF"/>
    <w:rsid w:val="00775C44"/>
    <w:rsid w:val="00776AC7"/>
    <w:rsid w:val="007906B0"/>
    <w:rsid w:val="007908BE"/>
    <w:rsid w:val="007949D6"/>
    <w:rsid w:val="007B452C"/>
    <w:rsid w:val="007B61FC"/>
    <w:rsid w:val="007B72C9"/>
    <w:rsid w:val="007C753E"/>
    <w:rsid w:val="008031B4"/>
    <w:rsid w:val="00810EE8"/>
    <w:rsid w:val="008206E3"/>
    <w:rsid w:val="00820A84"/>
    <w:rsid w:val="00825FA1"/>
    <w:rsid w:val="00837A8F"/>
    <w:rsid w:val="00860828"/>
    <w:rsid w:val="0086476B"/>
    <w:rsid w:val="00871B85"/>
    <w:rsid w:val="00882EE3"/>
    <w:rsid w:val="00885BAF"/>
    <w:rsid w:val="00890229"/>
    <w:rsid w:val="008921EE"/>
    <w:rsid w:val="008A13B1"/>
    <w:rsid w:val="008A2469"/>
    <w:rsid w:val="008A5108"/>
    <w:rsid w:val="008B18A4"/>
    <w:rsid w:val="008B1BF0"/>
    <w:rsid w:val="008B233E"/>
    <w:rsid w:val="008B2FB5"/>
    <w:rsid w:val="008B344D"/>
    <w:rsid w:val="008C5462"/>
    <w:rsid w:val="008C5EE6"/>
    <w:rsid w:val="008C6FEF"/>
    <w:rsid w:val="008F023C"/>
    <w:rsid w:val="008F04D5"/>
    <w:rsid w:val="008F0CAB"/>
    <w:rsid w:val="008F163B"/>
    <w:rsid w:val="009017AB"/>
    <w:rsid w:val="009132FC"/>
    <w:rsid w:val="0092131A"/>
    <w:rsid w:val="009259C1"/>
    <w:rsid w:val="00925EBE"/>
    <w:rsid w:val="00930F44"/>
    <w:rsid w:val="00941B73"/>
    <w:rsid w:val="00942BE7"/>
    <w:rsid w:val="00962192"/>
    <w:rsid w:val="009803DD"/>
    <w:rsid w:val="0099288C"/>
    <w:rsid w:val="009B589D"/>
    <w:rsid w:val="009C1045"/>
    <w:rsid w:val="009C3A60"/>
    <w:rsid w:val="009E499A"/>
    <w:rsid w:val="009E5CEF"/>
    <w:rsid w:val="009F01E3"/>
    <w:rsid w:val="009F4E5C"/>
    <w:rsid w:val="00A11093"/>
    <w:rsid w:val="00A15768"/>
    <w:rsid w:val="00A252A0"/>
    <w:rsid w:val="00A255AD"/>
    <w:rsid w:val="00A30893"/>
    <w:rsid w:val="00A40310"/>
    <w:rsid w:val="00A40943"/>
    <w:rsid w:val="00A41B3A"/>
    <w:rsid w:val="00A51BF8"/>
    <w:rsid w:val="00A55F55"/>
    <w:rsid w:val="00A632EE"/>
    <w:rsid w:val="00A64922"/>
    <w:rsid w:val="00A658F4"/>
    <w:rsid w:val="00A773EA"/>
    <w:rsid w:val="00A77565"/>
    <w:rsid w:val="00A81074"/>
    <w:rsid w:val="00A86256"/>
    <w:rsid w:val="00A97CC4"/>
    <w:rsid w:val="00AA54D2"/>
    <w:rsid w:val="00AA6F4A"/>
    <w:rsid w:val="00AB3EE9"/>
    <w:rsid w:val="00AC0CB3"/>
    <w:rsid w:val="00AC0F5C"/>
    <w:rsid w:val="00AC37D9"/>
    <w:rsid w:val="00AD2FA5"/>
    <w:rsid w:val="00AF4539"/>
    <w:rsid w:val="00AF5827"/>
    <w:rsid w:val="00B079F0"/>
    <w:rsid w:val="00B22185"/>
    <w:rsid w:val="00B26760"/>
    <w:rsid w:val="00B30BCC"/>
    <w:rsid w:val="00B31B81"/>
    <w:rsid w:val="00B52188"/>
    <w:rsid w:val="00B5368A"/>
    <w:rsid w:val="00B644AA"/>
    <w:rsid w:val="00B65796"/>
    <w:rsid w:val="00B67957"/>
    <w:rsid w:val="00B85FA1"/>
    <w:rsid w:val="00B97209"/>
    <w:rsid w:val="00BB0268"/>
    <w:rsid w:val="00BB5A1D"/>
    <w:rsid w:val="00BC4244"/>
    <w:rsid w:val="00BD5FCC"/>
    <w:rsid w:val="00BE0512"/>
    <w:rsid w:val="00BE6E4E"/>
    <w:rsid w:val="00BF2B54"/>
    <w:rsid w:val="00BF7AF5"/>
    <w:rsid w:val="00C02975"/>
    <w:rsid w:val="00C03773"/>
    <w:rsid w:val="00C20F54"/>
    <w:rsid w:val="00C22570"/>
    <w:rsid w:val="00C23DA0"/>
    <w:rsid w:val="00C2690B"/>
    <w:rsid w:val="00C403EB"/>
    <w:rsid w:val="00C80132"/>
    <w:rsid w:val="00C87757"/>
    <w:rsid w:val="00C94E76"/>
    <w:rsid w:val="00CA06BB"/>
    <w:rsid w:val="00CA2EEF"/>
    <w:rsid w:val="00CA48F6"/>
    <w:rsid w:val="00CB0402"/>
    <w:rsid w:val="00CB2713"/>
    <w:rsid w:val="00CB28C5"/>
    <w:rsid w:val="00CC3ADF"/>
    <w:rsid w:val="00CC6022"/>
    <w:rsid w:val="00CC7094"/>
    <w:rsid w:val="00CF6199"/>
    <w:rsid w:val="00D14156"/>
    <w:rsid w:val="00D14348"/>
    <w:rsid w:val="00D2246E"/>
    <w:rsid w:val="00D3037C"/>
    <w:rsid w:val="00D466F7"/>
    <w:rsid w:val="00D666C8"/>
    <w:rsid w:val="00D8160A"/>
    <w:rsid w:val="00D92604"/>
    <w:rsid w:val="00D930C6"/>
    <w:rsid w:val="00D934B2"/>
    <w:rsid w:val="00DB4DCB"/>
    <w:rsid w:val="00DB5B79"/>
    <w:rsid w:val="00DB70B5"/>
    <w:rsid w:val="00DE1F89"/>
    <w:rsid w:val="00E009D0"/>
    <w:rsid w:val="00E3236B"/>
    <w:rsid w:val="00E3500A"/>
    <w:rsid w:val="00E357D4"/>
    <w:rsid w:val="00E40902"/>
    <w:rsid w:val="00E479C6"/>
    <w:rsid w:val="00E55A66"/>
    <w:rsid w:val="00E60761"/>
    <w:rsid w:val="00E62DFC"/>
    <w:rsid w:val="00E77DAB"/>
    <w:rsid w:val="00E83047"/>
    <w:rsid w:val="00E912B2"/>
    <w:rsid w:val="00E94D68"/>
    <w:rsid w:val="00E9568E"/>
    <w:rsid w:val="00EA0265"/>
    <w:rsid w:val="00EA4A51"/>
    <w:rsid w:val="00EA50D2"/>
    <w:rsid w:val="00EA753A"/>
    <w:rsid w:val="00EB158E"/>
    <w:rsid w:val="00EB5C93"/>
    <w:rsid w:val="00EC07BE"/>
    <w:rsid w:val="00EC43E9"/>
    <w:rsid w:val="00EE0662"/>
    <w:rsid w:val="00EE10FC"/>
    <w:rsid w:val="00EE4722"/>
    <w:rsid w:val="00EE5CAE"/>
    <w:rsid w:val="00EF5B4F"/>
    <w:rsid w:val="00F01BB6"/>
    <w:rsid w:val="00F05419"/>
    <w:rsid w:val="00F30BBB"/>
    <w:rsid w:val="00F510B9"/>
    <w:rsid w:val="00F55DF1"/>
    <w:rsid w:val="00F90BB8"/>
    <w:rsid w:val="00F97896"/>
    <w:rsid w:val="00F97F72"/>
    <w:rsid w:val="00FB3154"/>
    <w:rsid w:val="00FB513E"/>
    <w:rsid w:val="00FC4756"/>
    <w:rsid w:val="00FC60C8"/>
    <w:rsid w:val="00FF3257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0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045"/>
  </w:style>
  <w:style w:type="paragraph" w:styleId="a8">
    <w:name w:val="footer"/>
    <w:basedOn w:val="a"/>
    <w:link w:val="a9"/>
    <w:uiPriority w:val="99"/>
    <w:unhideWhenUsed/>
    <w:rsid w:val="009C1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045"/>
  </w:style>
  <w:style w:type="table" w:styleId="aa">
    <w:name w:val="Table Grid"/>
    <w:basedOn w:val="a1"/>
    <w:uiPriority w:val="59"/>
    <w:rsid w:val="00EC4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B5B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5B7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5B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5B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5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0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045"/>
  </w:style>
  <w:style w:type="paragraph" w:styleId="a8">
    <w:name w:val="footer"/>
    <w:basedOn w:val="a"/>
    <w:link w:val="a9"/>
    <w:uiPriority w:val="99"/>
    <w:unhideWhenUsed/>
    <w:rsid w:val="009C1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045"/>
  </w:style>
  <w:style w:type="table" w:styleId="aa">
    <w:name w:val="Table Grid"/>
    <w:basedOn w:val="a1"/>
    <w:uiPriority w:val="59"/>
    <w:rsid w:val="00EC4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B5B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5B7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5B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5B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23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oko\Dropbox\Kiko\2013&#12454;&#12455;&#12502;&#12469;&#12452;&#12488;&#12539;&#12469;&#12540;&#12499;&#12473;&#12464;&#12521;&#12531;&#12488;\&#9733;&#26032;&#12467;&#12531;&#12486;&#12531;&#12484;&#12487;&#12540;&#12479;\&#12454;&#12455;&#12502;&#25913;&#35330;&#12467;&#12531;&#12486;&#12531;&#12484;&#12486;&#12531;&#12503;&#12524;&#12540;&#12488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JANIC\AppData\Local\Microsoft\Windows\Temporary%20Internet%20Files\Content.Outlook\31O75BUX\40&#31038;&#12391;50%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  <a:cs typeface="ＭＳ ゴシック"/>
              </a:defRPr>
            </a:pPr>
            <a:r>
              <a:rPr lang="ja-JP" altLang="en-US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日本の温室効果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  <a:cs typeface="ＭＳ ゴシック"/>
              </a:defRPr>
            </a:pPr>
            <a:r>
              <a:rPr lang="ja-JP" altLang="en-US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ガス排出量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  <a:cs typeface="ＭＳ ゴシック"/>
              </a:defRPr>
            </a:pPr>
            <a:r>
              <a:rPr lang="en-US" altLang="ja-JP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12</a:t>
            </a:r>
            <a:r>
              <a:rPr lang="ja-JP" altLang="en-US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億</a:t>
            </a:r>
            <a:r>
              <a:rPr lang="en-US" altLang="ja-JP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8200</a:t>
            </a:r>
            <a:r>
              <a:rPr lang="ja-JP" altLang="en-US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万</a:t>
            </a:r>
            <a:r>
              <a:rPr lang="en-US" altLang="ja-JP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t-CO2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  <a:cs typeface="ＭＳ ゴシック"/>
              </a:defRPr>
            </a:pPr>
            <a:r>
              <a:rPr lang="en-US" altLang="ja-JP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(2008</a:t>
            </a:r>
            <a:r>
              <a:rPr lang="ja-JP" altLang="en-US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年度</a:t>
            </a:r>
            <a:r>
              <a:rPr lang="en-US" altLang="ja-JP" sz="1200" b="0" i="0" strike="noStrike" dirty="0">
                <a:solidFill>
                  <a:srgbClr val="000000"/>
                </a:solidFill>
                <a:latin typeface="HG明朝E" pitchFamily="17" charset="-128"/>
                <a:ea typeface="HG明朝E" pitchFamily="17" charset="-128"/>
              </a:rPr>
              <a:t>)</a:t>
            </a:r>
          </a:p>
        </c:rich>
      </c:tx>
      <c:layout>
        <c:manualLayout>
          <c:xMode val="edge"/>
          <c:yMode val="edge"/>
          <c:x val="0.37430555555555589"/>
          <c:y val="0.3872053872053875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073095594225945"/>
          <c:y val="9.1568943349991286E-2"/>
          <c:w val="0.52013888888888893"/>
          <c:h val="0.84062850729517535"/>
        </c:manualLayout>
      </c:layout>
      <c:doughnutChart>
        <c:varyColors val="1"/>
        <c:ser>
          <c:idx val="0"/>
          <c:order val="0"/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EA74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CC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FFF58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1.6269903762029747E-2"/>
                  <c:y val="-9.288864144507153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9012029746281928E-2"/>
                  <c:y val="5.01727688079393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1695756780402482E-2"/>
                  <c:y val="-2.51302173086950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5588363954505587E-3"/>
                  <c:y val="2.59945032123509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2.5022637795275599E-2"/>
                  <c:y val="0.1003135466652526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1895559930008806E-2"/>
                  <c:y val="-2.3050982263580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ゴシック"/>
                    <a:ea typeface="ＭＳ ゴシック"/>
                    <a:cs typeface="ＭＳ ゴシック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'総合 (2)'!$F$3:$F$10</c:f>
              <c:strCache>
                <c:ptCount val="8"/>
                <c:pt idx="0">
                  <c:v>発電(19社)</c:v>
                </c:pt>
                <c:pt idx="1">
                  <c:v>製鉄(5社)</c:v>
                </c:pt>
                <c:pt idx="2">
                  <c:v>セメント(4社)</c:v>
                </c:pt>
                <c:pt idx="3">
                  <c:v>化学(6社)</c:v>
                </c:pt>
                <c:pt idx="4">
                  <c:v>製油(4社)</c:v>
                </c:pt>
                <c:pt idx="5">
                  <c:v>製紙(2社)</c:v>
                </c:pt>
                <c:pt idx="6">
                  <c:v>その他公表制度対象大口(8000社)</c:v>
                </c:pt>
                <c:pt idx="7">
                  <c:v>公表制度以外小口</c:v>
                </c:pt>
              </c:strCache>
            </c:strRef>
          </c:cat>
          <c:val>
            <c:numRef>
              <c:f>'総合 (2)'!$G$3:$G$10</c:f>
              <c:numCache>
                <c:formatCode>#,##0_);[Red]\(#,##0\)</c:formatCode>
                <c:ptCount val="8"/>
                <c:pt idx="0">
                  <c:v>388764082</c:v>
                </c:pt>
                <c:pt idx="1">
                  <c:v>146360947</c:v>
                </c:pt>
                <c:pt idx="2" formatCode="#,##0">
                  <c:v>41785707</c:v>
                </c:pt>
                <c:pt idx="3" formatCode="#,##0">
                  <c:v>29328822</c:v>
                </c:pt>
                <c:pt idx="4" formatCode="#,##0">
                  <c:v>25760196</c:v>
                </c:pt>
                <c:pt idx="5" formatCode="#,##0">
                  <c:v>9858541</c:v>
                </c:pt>
                <c:pt idx="6" formatCode="#,##0">
                  <c:v>256205789</c:v>
                </c:pt>
                <c:pt idx="7">
                  <c:v>383735916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ゴシック"/>
          <a:ea typeface="ＭＳ ゴシック"/>
          <a:cs typeface="ＭＳ ゴシック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0.71094</cdr:x>
      <cdr:y>0.22222</cdr:y>
    </cdr:from>
    <cdr:to>
      <cdr:x>0.71398</cdr:x>
      <cdr:y>0.27526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00826" y="1257289"/>
          <a:ext cx="27765" cy="3000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27432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altLang="ja-JP" sz="1800" b="0" i="0" strike="noStrike" dirty="0">
            <a:solidFill>
              <a:srgbClr val="000000"/>
            </a:solidFill>
            <a:latin typeface="ＭＳ ゴシック"/>
            <a:ea typeface="ＭＳ ゴシック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ウェブ改訂コンテンツテンプレート.dotx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桃井貴子</dc:creator>
  <cp:lastModifiedBy>高谷 龍子</cp:lastModifiedBy>
  <cp:revision>2</cp:revision>
  <dcterms:created xsi:type="dcterms:W3CDTF">2014-01-30T12:05:00Z</dcterms:created>
  <dcterms:modified xsi:type="dcterms:W3CDTF">2014-01-30T12:05:00Z</dcterms:modified>
</cp:coreProperties>
</file>